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40E62164"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6B5AEB">
        <w:rPr>
          <w:rFonts w:ascii="Arial Narrow" w:hAnsi="Arial Narrow"/>
          <w:sz w:val="20"/>
        </w:rPr>
        <w:t>6</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9E432F7"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065D30">
        <w:rPr>
          <w:rFonts w:ascii="Arial Narrow" w:hAnsi="Arial Narrow"/>
        </w:rPr>
        <w:t>6</w:t>
      </w:r>
      <w:r w:rsidR="00B81EA3">
        <w:rPr>
          <w:rFonts w:ascii="Arial Narrow" w:hAnsi="Arial Narrow"/>
        </w:rPr>
        <w:t xml:space="preserve">: </w:t>
      </w:r>
      <w:r w:rsidR="00F44B1E">
        <w:rPr>
          <w:rFonts w:ascii="Arial Narrow" w:hAnsi="Arial Narrow"/>
        </w:rPr>
        <w:t>„</w:t>
      </w:r>
      <w:r w:rsidR="006B5AEB" w:rsidRPr="006B5AEB">
        <w:rPr>
          <w:rFonts w:ascii="Arial Narrow" w:hAnsi="Arial Narrow" w:cs="Arial"/>
          <w:b/>
        </w:rPr>
        <w:t xml:space="preserve">Monitory – </w:t>
      </w:r>
      <w:r w:rsidR="006B5AEB">
        <w:rPr>
          <w:rFonts w:ascii="Arial Narrow" w:hAnsi="Arial Narrow" w:cs="Arial"/>
          <w:b/>
        </w:rPr>
        <w:t xml:space="preserve">A) </w:t>
      </w:r>
      <w:r w:rsidR="006B5AEB" w:rsidRPr="006B5AEB">
        <w:rPr>
          <w:rFonts w:ascii="Arial Narrow" w:hAnsi="Arial Narrow" w:cs="Arial"/>
          <w:b/>
        </w:rPr>
        <w:t>Monitory (5</w:t>
      </w:r>
      <w:r w:rsidR="00065D30">
        <w:rPr>
          <w:rFonts w:ascii="Arial Narrow" w:hAnsi="Arial Narrow" w:cs="Arial"/>
          <w:b/>
        </w:rPr>
        <w:t xml:space="preserve"> </w:t>
      </w:r>
      <w:r w:rsidR="006B5AEB" w:rsidRPr="006B5AEB">
        <w:rPr>
          <w:rFonts w:ascii="Arial Narrow" w:hAnsi="Arial Narrow" w:cs="Arial"/>
          <w:b/>
        </w:rPr>
        <w:t xml:space="preserve">ks) s centrálou, </w:t>
      </w:r>
      <w:r w:rsidR="006B5AEB">
        <w:rPr>
          <w:rFonts w:ascii="Arial Narrow" w:hAnsi="Arial Narrow" w:cs="Arial"/>
          <w:b/>
        </w:rPr>
        <w:t xml:space="preserve">B) </w:t>
      </w:r>
      <w:r w:rsidR="006B5AEB" w:rsidRPr="006B5AEB">
        <w:rPr>
          <w:rFonts w:ascii="Arial Narrow" w:hAnsi="Arial Narrow" w:cs="Arial"/>
          <w:b/>
        </w:rPr>
        <w:t>Monitory (5</w:t>
      </w:r>
      <w:r w:rsidR="00065D30">
        <w:rPr>
          <w:rFonts w:ascii="Arial Narrow" w:hAnsi="Arial Narrow" w:cs="Arial"/>
          <w:b/>
        </w:rPr>
        <w:t xml:space="preserve"> </w:t>
      </w:r>
      <w:r w:rsidR="006B5AEB" w:rsidRPr="006B5AEB">
        <w:rPr>
          <w:rFonts w:ascii="Arial Narrow" w:hAnsi="Arial Narrow" w:cs="Arial"/>
          <w:b/>
        </w:rPr>
        <w:t xml:space="preserve">ks) s centrálou, </w:t>
      </w:r>
      <w:r w:rsidR="006B5AEB">
        <w:rPr>
          <w:rFonts w:ascii="Arial Narrow" w:hAnsi="Arial Narrow" w:cs="Arial"/>
          <w:b/>
        </w:rPr>
        <w:t xml:space="preserve">C) </w:t>
      </w:r>
      <w:r w:rsidR="006B5AEB" w:rsidRPr="006B5AEB">
        <w:rPr>
          <w:rFonts w:ascii="Arial Narrow" w:hAnsi="Arial Narrow" w:cs="Arial"/>
          <w:b/>
        </w:rPr>
        <w:t>Monitory (4</w:t>
      </w:r>
      <w:r w:rsidR="00065D30">
        <w:rPr>
          <w:rFonts w:ascii="Arial Narrow" w:hAnsi="Arial Narrow" w:cs="Arial"/>
          <w:b/>
        </w:rPr>
        <w:t xml:space="preserve"> </w:t>
      </w:r>
      <w:r w:rsidR="006B5AEB" w:rsidRPr="006B5AEB">
        <w:rPr>
          <w:rFonts w:ascii="Arial Narrow" w:hAnsi="Arial Narrow" w:cs="Arial"/>
          <w:b/>
        </w:rPr>
        <w:t xml:space="preserve">ks) s centrálou, </w:t>
      </w:r>
      <w:r w:rsidR="006B5AEB">
        <w:rPr>
          <w:rFonts w:ascii="Arial Narrow" w:hAnsi="Arial Narrow" w:cs="Arial"/>
          <w:b/>
        </w:rPr>
        <w:t xml:space="preserve">D) </w:t>
      </w:r>
      <w:r w:rsidR="006B5AEB" w:rsidRPr="006B5AEB">
        <w:rPr>
          <w:rFonts w:ascii="Arial Narrow" w:hAnsi="Arial Narrow" w:cs="Arial"/>
          <w:b/>
        </w:rPr>
        <w:t>Monitory (</w:t>
      </w:r>
      <w:r w:rsidR="00065D30">
        <w:rPr>
          <w:rFonts w:ascii="Arial Narrow" w:hAnsi="Arial Narrow" w:cs="Arial"/>
          <w:b/>
        </w:rPr>
        <w:t xml:space="preserve">6 </w:t>
      </w:r>
      <w:r w:rsidR="006B5AEB" w:rsidRPr="006B5AEB">
        <w:rPr>
          <w:rFonts w:ascii="Arial Narrow" w:hAnsi="Arial Narrow" w:cs="Arial"/>
          <w:b/>
        </w:rPr>
        <w:t>ks) s</w:t>
      </w:r>
      <w:r w:rsidR="006B5AEB">
        <w:rPr>
          <w:rFonts w:ascii="Arial Narrow" w:hAnsi="Arial Narrow" w:cs="Arial"/>
          <w:b/>
        </w:rPr>
        <w:t> </w:t>
      </w:r>
      <w:r w:rsidR="006B5AEB" w:rsidRPr="006B5AEB">
        <w:rPr>
          <w:rFonts w:ascii="Arial Narrow" w:hAnsi="Arial Narrow" w:cs="Arial"/>
          <w:b/>
        </w:rPr>
        <w:t>centrálou</w:t>
      </w:r>
      <w:r w:rsidR="006B5AEB">
        <w:rPr>
          <w:rFonts w:ascii="Arial Narrow" w:hAnsi="Arial Narrow" w:cs="Arial"/>
          <w:b/>
        </w:rPr>
        <w:t xml:space="preserve"> a</w:t>
      </w:r>
      <w:r w:rsidR="006B5AEB" w:rsidRPr="006B5AEB">
        <w:rPr>
          <w:rFonts w:ascii="Arial Narrow" w:hAnsi="Arial Narrow" w:cs="Arial"/>
          <w:b/>
        </w:rPr>
        <w:t xml:space="preserve"> telemetri</w:t>
      </w:r>
      <w:r w:rsidR="006B5AEB">
        <w:rPr>
          <w:rFonts w:ascii="Arial Narrow" w:hAnsi="Arial Narrow" w:cs="Arial"/>
          <w:b/>
        </w:rPr>
        <w:t>í</w:t>
      </w:r>
      <w:r w:rsidR="006B5AEB" w:rsidRPr="006B5AEB">
        <w:rPr>
          <w:rFonts w:ascii="Arial Narrow" w:hAnsi="Arial Narrow" w:cs="Arial"/>
          <w:b/>
        </w:rPr>
        <w:t xml:space="preserve"> a</w:t>
      </w:r>
      <w:r w:rsidR="006B5AEB">
        <w:rPr>
          <w:rFonts w:ascii="Arial Narrow" w:hAnsi="Arial Narrow" w:cs="Arial"/>
          <w:b/>
        </w:rPr>
        <w:t xml:space="preserve"> E) </w:t>
      </w:r>
      <w:r w:rsidR="006B5AEB" w:rsidRPr="006B5AEB">
        <w:rPr>
          <w:rFonts w:ascii="Arial Narrow" w:hAnsi="Arial Narrow" w:cs="Arial"/>
          <w:b/>
        </w:rPr>
        <w:t>Monitor</w:t>
      </w:r>
      <w:r w:rsidR="00065D30">
        <w:rPr>
          <w:rFonts w:ascii="Arial Narrow" w:hAnsi="Arial Narrow" w:cs="Arial"/>
          <w:b/>
        </w:rPr>
        <w:t xml:space="preserve"> (1 ks)</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sidR="00904972">
        <w:rPr>
          <w:rFonts w:ascii="Arial Narrow" w:hAnsi="Arial Narrow"/>
        </w:rPr>
        <w:t>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904972">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tbl>
      <w:tblPr>
        <w:tblW w:w="850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984"/>
        <w:gridCol w:w="2126"/>
      </w:tblGrid>
      <w:tr w:rsidR="00904972" w:rsidRPr="00445E91" w14:paraId="3C9AFE59" w14:textId="77777777" w:rsidTr="006B5AEB">
        <w:tc>
          <w:tcPr>
            <w:tcW w:w="4395" w:type="dxa"/>
            <w:shd w:val="clear" w:color="auto" w:fill="F2F2F2" w:themeFill="background1" w:themeFillShade="F2"/>
            <w:vAlign w:val="center"/>
          </w:tcPr>
          <w:p w14:paraId="75E90351" w14:textId="77777777" w:rsidR="00904972" w:rsidRPr="00445E91" w:rsidRDefault="00904972" w:rsidP="00904972">
            <w:pPr>
              <w:pStyle w:val="Zkladntext"/>
              <w:ind w:left="29" w:firstLine="0"/>
              <w:jc w:val="center"/>
              <w:rPr>
                <w:rFonts w:ascii="Arial" w:hAnsi="Arial" w:cs="Arial"/>
                <w:b/>
              </w:rPr>
            </w:pPr>
            <w:r w:rsidRPr="00445E91">
              <w:rPr>
                <w:rFonts w:ascii="Arial" w:hAnsi="Arial" w:cs="Arial"/>
                <w:b/>
              </w:rPr>
              <w:t>Položka</w:t>
            </w:r>
          </w:p>
        </w:tc>
        <w:tc>
          <w:tcPr>
            <w:tcW w:w="1984" w:type="dxa"/>
            <w:shd w:val="clear" w:color="auto" w:fill="F2F2F2" w:themeFill="background1" w:themeFillShade="F2"/>
            <w:vAlign w:val="center"/>
          </w:tcPr>
          <w:p w14:paraId="073142B9" w14:textId="77777777" w:rsidR="00904972" w:rsidRPr="00445E91" w:rsidRDefault="00904972" w:rsidP="006B5AEB">
            <w:pPr>
              <w:pStyle w:val="Zkladntext"/>
              <w:ind w:left="-108" w:firstLine="0"/>
              <w:jc w:val="center"/>
              <w:rPr>
                <w:rFonts w:ascii="Arial" w:hAnsi="Arial" w:cs="Arial"/>
                <w:b/>
              </w:rPr>
            </w:pPr>
            <w:r w:rsidRPr="00445E91">
              <w:rPr>
                <w:rFonts w:ascii="Arial" w:hAnsi="Arial" w:cs="Arial"/>
                <w:b/>
              </w:rPr>
              <w:t>Jednotková cena v Kč bez DPH</w:t>
            </w:r>
          </w:p>
        </w:tc>
        <w:tc>
          <w:tcPr>
            <w:tcW w:w="2126" w:type="dxa"/>
            <w:shd w:val="clear" w:color="auto" w:fill="F2F2F2" w:themeFill="background1" w:themeFillShade="F2"/>
            <w:vAlign w:val="center"/>
          </w:tcPr>
          <w:p w14:paraId="07D97646" w14:textId="77777777" w:rsidR="00904972" w:rsidRPr="00445E91" w:rsidRDefault="00904972" w:rsidP="00904972">
            <w:pPr>
              <w:pStyle w:val="Zkladntext"/>
              <w:ind w:left="0" w:firstLine="0"/>
              <w:jc w:val="center"/>
              <w:rPr>
                <w:rFonts w:ascii="Arial" w:hAnsi="Arial" w:cs="Arial"/>
                <w:b/>
              </w:rPr>
            </w:pPr>
            <w:r w:rsidRPr="00445E91">
              <w:rPr>
                <w:rFonts w:ascii="Arial" w:hAnsi="Arial" w:cs="Arial"/>
                <w:b/>
              </w:rPr>
              <w:t>Celková</w:t>
            </w:r>
            <w:r>
              <w:rPr>
                <w:rFonts w:ascii="Arial" w:hAnsi="Arial" w:cs="Arial"/>
                <w:b/>
              </w:rPr>
              <w:t xml:space="preserve"> </w:t>
            </w:r>
            <w:r w:rsidRPr="00445E91">
              <w:rPr>
                <w:rFonts w:ascii="Arial" w:hAnsi="Arial" w:cs="Arial"/>
                <w:b/>
              </w:rPr>
              <w:t>cena v Kč bez DPH</w:t>
            </w:r>
          </w:p>
        </w:tc>
      </w:tr>
      <w:tr w:rsidR="00904972" w:rsidRPr="00445E91" w14:paraId="5610E58E" w14:textId="77777777" w:rsidTr="006B5AEB">
        <w:trPr>
          <w:trHeight w:val="522"/>
        </w:trPr>
        <w:tc>
          <w:tcPr>
            <w:tcW w:w="4395" w:type="dxa"/>
            <w:shd w:val="clear" w:color="auto" w:fill="auto"/>
            <w:vAlign w:val="center"/>
          </w:tcPr>
          <w:p w14:paraId="211C6889" w14:textId="1283D66B" w:rsidR="00904972" w:rsidRPr="007F0644" w:rsidRDefault="006B5AEB" w:rsidP="002A0836">
            <w:pPr>
              <w:pStyle w:val="Zkladntext"/>
              <w:spacing w:before="120"/>
              <w:ind w:left="0" w:firstLine="0"/>
              <w:rPr>
                <w:rFonts w:ascii="Arial" w:hAnsi="Arial" w:cs="Arial"/>
              </w:rPr>
            </w:pPr>
            <w:r>
              <w:rPr>
                <w:rFonts w:ascii="Arial" w:hAnsi="Arial" w:cs="Arial"/>
              </w:rPr>
              <w:t xml:space="preserve">A) </w:t>
            </w:r>
            <w:r w:rsidRPr="006B5AEB">
              <w:rPr>
                <w:rFonts w:ascii="Arial" w:hAnsi="Arial" w:cs="Arial"/>
              </w:rPr>
              <w:t>Monitory (5</w:t>
            </w:r>
            <w:r w:rsidR="00065D30">
              <w:rPr>
                <w:rFonts w:ascii="Arial" w:hAnsi="Arial" w:cs="Arial"/>
              </w:rPr>
              <w:t xml:space="preserve"> </w:t>
            </w:r>
            <w:r w:rsidRPr="006B5AEB">
              <w:rPr>
                <w:rFonts w:ascii="Arial" w:hAnsi="Arial" w:cs="Arial"/>
              </w:rPr>
              <w:t xml:space="preserve">ks) s centrálou </w:t>
            </w:r>
            <w:r w:rsidR="00904972">
              <w:rPr>
                <w:rFonts w:ascii="Arial" w:hAnsi="Arial" w:cs="Arial"/>
              </w:rPr>
              <w:t xml:space="preserve">– </w:t>
            </w:r>
            <w:r>
              <w:rPr>
                <w:rFonts w:ascii="Arial" w:hAnsi="Arial" w:cs="Arial"/>
              </w:rPr>
              <w:t>1</w:t>
            </w:r>
            <w:r w:rsidR="00904972">
              <w:rPr>
                <w:rFonts w:ascii="Arial" w:hAnsi="Arial" w:cs="Arial"/>
              </w:rPr>
              <w:t xml:space="preserve"> ks</w:t>
            </w:r>
          </w:p>
        </w:tc>
        <w:tc>
          <w:tcPr>
            <w:tcW w:w="1984" w:type="dxa"/>
            <w:shd w:val="clear" w:color="auto" w:fill="FFFF00"/>
          </w:tcPr>
          <w:p w14:paraId="59E31F31" w14:textId="77777777" w:rsidR="00904972" w:rsidRPr="00CF006C" w:rsidRDefault="00904972" w:rsidP="002A0836">
            <w:pPr>
              <w:spacing w:before="120" w:after="120"/>
              <w:ind w:left="357" w:firstLine="0"/>
              <w:rPr>
                <w:color w:val="FFFF00"/>
                <w:highlight w:val="yellow"/>
              </w:rPr>
            </w:pPr>
          </w:p>
        </w:tc>
        <w:tc>
          <w:tcPr>
            <w:tcW w:w="2126" w:type="dxa"/>
            <w:shd w:val="clear" w:color="auto" w:fill="FFFF00"/>
          </w:tcPr>
          <w:p w14:paraId="79308951" w14:textId="77777777" w:rsidR="00904972" w:rsidRPr="00CF006C" w:rsidRDefault="00904972" w:rsidP="002A0836">
            <w:pPr>
              <w:spacing w:before="120" w:after="120"/>
              <w:ind w:left="357" w:firstLine="0"/>
              <w:rPr>
                <w:color w:val="FFFF00"/>
                <w:highlight w:val="yellow"/>
              </w:rPr>
            </w:pPr>
          </w:p>
        </w:tc>
      </w:tr>
      <w:tr w:rsidR="00904972" w:rsidRPr="00445E91" w14:paraId="2531237E" w14:textId="77777777" w:rsidTr="006B5AEB">
        <w:tc>
          <w:tcPr>
            <w:tcW w:w="4395" w:type="dxa"/>
            <w:shd w:val="clear" w:color="auto" w:fill="auto"/>
            <w:vAlign w:val="center"/>
          </w:tcPr>
          <w:p w14:paraId="61435F9C" w14:textId="66C5928C" w:rsidR="00904972" w:rsidRPr="00D569E7" w:rsidRDefault="006B5AEB" w:rsidP="002A0836">
            <w:pPr>
              <w:pStyle w:val="Zkladntext"/>
              <w:spacing w:before="120"/>
              <w:ind w:left="0" w:firstLine="0"/>
              <w:rPr>
                <w:rFonts w:ascii="Arial" w:hAnsi="Arial" w:cs="Arial"/>
                <w:highlight w:val="green"/>
              </w:rPr>
            </w:pPr>
            <w:r>
              <w:rPr>
                <w:rFonts w:ascii="Arial" w:hAnsi="Arial" w:cs="Arial"/>
              </w:rPr>
              <w:t xml:space="preserve">B) </w:t>
            </w:r>
            <w:r w:rsidRPr="006B5AEB">
              <w:rPr>
                <w:rFonts w:ascii="Arial" w:hAnsi="Arial" w:cs="Arial"/>
              </w:rPr>
              <w:t>Monitory (5</w:t>
            </w:r>
            <w:r w:rsidR="00065D30">
              <w:rPr>
                <w:rFonts w:ascii="Arial" w:hAnsi="Arial" w:cs="Arial"/>
              </w:rPr>
              <w:t xml:space="preserve"> </w:t>
            </w:r>
            <w:r w:rsidRPr="006B5AEB">
              <w:rPr>
                <w:rFonts w:ascii="Arial" w:hAnsi="Arial" w:cs="Arial"/>
              </w:rPr>
              <w:t>ks) s centrálou</w:t>
            </w:r>
            <w:r w:rsidR="00904972" w:rsidRPr="00904972">
              <w:rPr>
                <w:rFonts w:ascii="Arial" w:hAnsi="Arial" w:cs="Arial"/>
              </w:rPr>
              <w:t xml:space="preserve"> </w:t>
            </w:r>
            <w:r w:rsidR="00904972">
              <w:rPr>
                <w:rFonts w:ascii="Arial" w:hAnsi="Arial" w:cs="Arial"/>
              </w:rPr>
              <w:t xml:space="preserve">– </w:t>
            </w:r>
            <w:r>
              <w:rPr>
                <w:rFonts w:ascii="Arial" w:hAnsi="Arial" w:cs="Arial"/>
              </w:rPr>
              <w:t>1</w:t>
            </w:r>
            <w:r w:rsidR="00904972">
              <w:rPr>
                <w:rFonts w:ascii="Arial" w:hAnsi="Arial" w:cs="Arial"/>
              </w:rPr>
              <w:t xml:space="preserve"> ks</w:t>
            </w:r>
          </w:p>
        </w:tc>
        <w:tc>
          <w:tcPr>
            <w:tcW w:w="1984" w:type="dxa"/>
            <w:shd w:val="clear" w:color="auto" w:fill="FFFF00"/>
          </w:tcPr>
          <w:p w14:paraId="70B7DA81" w14:textId="77777777" w:rsidR="00904972" w:rsidRPr="00CF006C" w:rsidRDefault="00904972" w:rsidP="002A0836">
            <w:pPr>
              <w:spacing w:before="120" w:after="120"/>
              <w:ind w:left="357" w:firstLine="0"/>
              <w:rPr>
                <w:rFonts w:ascii="Arial" w:hAnsi="Arial" w:cs="Arial"/>
                <w:bCs/>
                <w:color w:val="FFFF00"/>
                <w:highlight w:val="yellow"/>
              </w:rPr>
            </w:pPr>
          </w:p>
        </w:tc>
        <w:tc>
          <w:tcPr>
            <w:tcW w:w="2126" w:type="dxa"/>
            <w:shd w:val="clear" w:color="auto" w:fill="FFFF00"/>
          </w:tcPr>
          <w:p w14:paraId="58468A36" w14:textId="77777777" w:rsidR="00904972" w:rsidRPr="00CF006C" w:rsidRDefault="00904972" w:rsidP="002A0836">
            <w:pPr>
              <w:spacing w:before="120" w:after="120"/>
              <w:ind w:left="357" w:firstLine="0"/>
              <w:rPr>
                <w:rFonts w:ascii="Arial" w:hAnsi="Arial" w:cs="Arial"/>
                <w:bCs/>
                <w:color w:val="FFFF00"/>
                <w:highlight w:val="yellow"/>
              </w:rPr>
            </w:pPr>
          </w:p>
        </w:tc>
      </w:tr>
      <w:tr w:rsidR="00904972" w:rsidRPr="00445E91" w14:paraId="12222E81" w14:textId="77777777" w:rsidTr="006B5AEB">
        <w:tc>
          <w:tcPr>
            <w:tcW w:w="4395" w:type="dxa"/>
            <w:shd w:val="clear" w:color="auto" w:fill="auto"/>
            <w:vAlign w:val="center"/>
          </w:tcPr>
          <w:p w14:paraId="525F6E08" w14:textId="4493F03B" w:rsidR="00904972" w:rsidRPr="00904972" w:rsidRDefault="006B5AEB" w:rsidP="00904972">
            <w:pPr>
              <w:pStyle w:val="Zkladntext"/>
              <w:ind w:left="0" w:firstLine="0"/>
              <w:rPr>
                <w:rFonts w:ascii="Arial" w:hAnsi="Arial" w:cs="Arial"/>
              </w:rPr>
            </w:pPr>
            <w:r>
              <w:rPr>
                <w:rFonts w:ascii="Arial" w:hAnsi="Arial" w:cs="Arial"/>
              </w:rPr>
              <w:t xml:space="preserve">C) </w:t>
            </w:r>
            <w:r w:rsidRPr="006B5AEB">
              <w:rPr>
                <w:rFonts w:ascii="Arial" w:hAnsi="Arial" w:cs="Arial"/>
              </w:rPr>
              <w:t>Monitory (4</w:t>
            </w:r>
            <w:r w:rsidR="00065D30">
              <w:rPr>
                <w:rFonts w:ascii="Arial" w:hAnsi="Arial" w:cs="Arial"/>
              </w:rPr>
              <w:t xml:space="preserve"> </w:t>
            </w:r>
            <w:r w:rsidRPr="006B5AEB">
              <w:rPr>
                <w:rFonts w:ascii="Arial" w:hAnsi="Arial" w:cs="Arial"/>
              </w:rPr>
              <w:t>ks) s centrálou</w:t>
            </w:r>
            <w:r w:rsidR="00904972">
              <w:rPr>
                <w:rFonts w:ascii="Arial" w:hAnsi="Arial" w:cs="Arial"/>
              </w:rPr>
              <w:t xml:space="preserve"> – </w:t>
            </w:r>
            <w:r>
              <w:rPr>
                <w:rFonts w:ascii="Arial" w:hAnsi="Arial" w:cs="Arial"/>
              </w:rPr>
              <w:t>1</w:t>
            </w:r>
            <w:r w:rsidR="00904972">
              <w:rPr>
                <w:rFonts w:ascii="Arial" w:hAnsi="Arial" w:cs="Arial"/>
              </w:rPr>
              <w:t xml:space="preserve"> ks</w:t>
            </w:r>
          </w:p>
        </w:tc>
        <w:tc>
          <w:tcPr>
            <w:tcW w:w="1984" w:type="dxa"/>
            <w:shd w:val="clear" w:color="auto" w:fill="FFFF00"/>
          </w:tcPr>
          <w:p w14:paraId="320D0BE3" w14:textId="77777777" w:rsidR="00904972" w:rsidRPr="00CF006C" w:rsidRDefault="00904972" w:rsidP="002A0836">
            <w:pPr>
              <w:spacing w:before="120" w:after="120"/>
              <w:ind w:left="357" w:firstLine="0"/>
              <w:rPr>
                <w:rFonts w:ascii="Arial" w:hAnsi="Arial" w:cs="Arial"/>
                <w:bCs/>
                <w:color w:val="FFFF00"/>
                <w:highlight w:val="yellow"/>
              </w:rPr>
            </w:pPr>
          </w:p>
        </w:tc>
        <w:tc>
          <w:tcPr>
            <w:tcW w:w="2126" w:type="dxa"/>
            <w:shd w:val="clear" w:color="auto" w:fill="FFFF00"/>
          </w:tcPr>
          <w:p w14:paraId="398DDB48" w14:textId="77777777" w:rsidR="00904972" w:rsidRPr="00CF006C" w:rsidRDefault="00904972" w:rsidP="002A0836">
            <w:pPr>
              <w:spacing w:before="120" w:after="120"/>
              <w:ind w:left="357" w:firstLine="0"/>
              <w:rPr>
                <w:rFonts w:ascii="Arial" w:hAnsi="Arial" w:cs="Arial"/>
                <w:bCs/>
                <w:color w:val="FFFF00"/>
                <w:highlight w:val="yellow"/>
              </w:rPr>
            </w:pPr>
          </w:p>
        </w:tc>
      </w:tr>
      <w:tr w:rsidR="006B5AEB" w:rsidRPr="00445E91" w14:paraId="73FE8448" w14:textId="77777777" w:rsidTr="006B5AEB">
        <w:tc>
          <w:tcPr>
            <w:tcW w:w="4395" w:type="dxa"/>
            <w:shd w:val="clear" w:color="auto" w:fill="auto"/>
            <w:vAlign w:val="center"/>
          </w:tcPr>
          <w:p w14:paraId="24661A8E" w14:textId="2856BC9F" w:rsidR="006B5AEB" w:rsidRDefault="006B5AEB" w:rsidP="006B5AEB">
            <w:pPr>
              <w:pStyle w:val="Zkladntext"/>
              <w:tabs>
                <w:tab w:val="left" w:pos="313"/>
              </w:tabs>
              <w:ind w:left="0" w:firstLine="0"/>
              <w:rPr>
                <w:rFonts w:ascii="Arial" w:hAnsi="Arial" w:cs="Arial"/>
              </w:rPr>
            </w:pPr>
            <w:r>
              <w:rPr>
                <w:rFonts w:ascii="Arial" w:hAnsi="Arial" w:cs="Arial"/>
              </w:rPr>
              <w:t xml:space="preserve">D) </w:t>
            </w:r>
            <w:r w:rsidRPr="006B5AEB">
              <w:rPr>
                <w:rFonts w:ascii="Arial" w:hAnsi="Arial" w:cs="Arial"/>
              </w:rPr>
              <w:t>Monitory (</w:t>
            </w:r>
            <w:r w:rsidR="00065D30">
              <w:rPr>
                <w:rFonts w:ascii="Arial" w:hAnsi="Arial" w:cs="Arial"/>
              </w:rPr>
              <w:t xml:space="preserve">6 </w:t>
            </w:r>
            <w:r w:rsidRPr="006B5AEB">
              <w:rPr>
                <w:rFonts w:ascii="Arial" w:hAnsi="Arial" w:cs="Arial"/>
              </w:rPr>
              <w:t>ks) s centrálou a telemetrií</w:t>
            </w:r>
            <w:r>
              <w:rPr>
                <w:rFonts w:ascii="Arial" w:hAnsi="Arial" w:cs="Arial"/>
              </w:rPr>
              <w:t xml:space="preserve"> – 1 ks</w:t>
            </w:r>
          </w:p>
        </w:tc>
        <w:tc>
          <w:tcPr>
            <w:tcW w:w="1984" w:type="dxa"/>
            <w:shd w:val="clear" w:color="auto" w:fill="FFFF00"/>
          </w:tcPr>
          <w:p w14:paraId="7C157AEC" w14:textId="77777777" w:rsidR="006B5AEB" w:rsidRPr="00CF006C" w:rsidRDefault="006B5AEB" w:rsidP="002A0836">
            <w:pPr>
              <w:spacing w:before="120" w:after="120"/>
              <w:ind w:left="357" w:firstLine="0"/>
              <w:rPr>
                <w:rFonts w:ascii="Arial" w:hAnsi="Arial" w:cs="Arial"/>
                <w:bCs/>
                <w:color w:val="FFFF00"/>
                <w:highlight w:val="yellow"/>
              </w:rPr>
            </w:pPr>
          </w:p>
        </w:tc>
        <w:tc>
          <w:tcPr>
            <w:tcW w:w="2126" w:type="dxa"/>
            <w:shd w:val="clear" w:color="auto" w:fill="FFFF00"/>
          </w:tcPr>
          <w:p w14:paraId="5F19988F" w14:textId="77777777" w:rsidR="006B5AEB" w:rsidRPr="00CF006C" w:rsidRDefault="006B5AEB" w:rsidP="002A0836">
            <w:pPr>
              <w:spacing w:before="120" w:after="120"/>
              <w:ind w:left="357" w:firstLine="0"/>
              <w:rPr>
                <w:rFonts w:ascii="Arial" w:hAnsi="Arial" w:cs="Arial"/>
                <w:bCs/>
                <w:color w:val="FFFF00"/>
                <w:highlight w:val="yellow"/>
              </w:rPr>
            </w:pPr>
          </w:p>
        </w:tc>
      </w:tr>
      <w:tr w:rsidR="006B5AEB" w:rsidRPr="00445E91" w14:paraId="0D70698E" w14:textId="77777777" w:rsidTr="006B5AEB">
        <w:tc>
          <w:tcPr>
            <w:tcW w:w="4395" w:type="dxa"/>
            <w:shd w:val="clear" w:color="auto" w:fill="auto"/>
            <w:vAlign w:val="center"/>
          </w:tcPr>
          <w:p w14:paraId="7C639A8A" w14:textId="01ECA157" w:rsidR="006B5AEB" w:rsidRDefault="006B5AEB" w:rsidP="006B5AEB">
            <w:pPr>
              <w:pStyle w:val="Zkladntext"/>
              <w:tabs>
                <w:tab w:val="left" w:pos="313"/>
              </w:tabs>
              <w:ind w:left="0" w:firstLine="0"/>
              <w:rPr>
                <w:rFonts w:ascii="Arial" w:hAnsi="Arial" w:cs="Arial"/>
              </w:rPr>
            </w:pPr>
            <w:r>
              <w:rPr>
                <w:rFonts w:ascii="Arial" w:hAnsi="Arial" w:cs="Arial"/>
              </w:rPr>
              <w:t xml:space="preserve">E) </w:t>
            </w:r>
            <w:r w:rsidRPr="006B5AEB">
              <w:rPr>
                <w:rFonts w:ascii="Arial" w:hAnsi="Arial" w:cs="Arial"/>
              </w:rPr>
              <w:t>Monitor</w:t>
            </w:r>
            <w:r>
              <w:rPr>
                <w:rFonts w:ascii="Arial" w:hAnsi="Arial" w:cs="Arial"/>
              </w:rPr>
              <w:t xml:space="preserve"> </w:t>
            </w:r>
            <w:r w:rsidR="00065D30">
              <w:rPr>
                <w:rFonts w:ascii="Arial" w:hAnsi="Arial" w:cs="Arial"/>
              </w:rPr>
              <w:t>(1 ks) –</w:t>
            </w:r>
            <w:r>
              <w:rPr>
                <w:rFonts w:ascii="Arial" w:hAnsi="Arial" w:cs="Arial"/>
              </w:rPr>
              <w:t xml:space="preserve"> 1 ks</w:t>
            </w:r>
          </w:p>
        </w:tc>
        <w:tc>
          <w:tcPr>
            <w:tcW w:w="1984" w:type="dxa"/>
            <w:shd w:val="clear" w:color="auto" w:fill="FFFF00"/>
          </w:tcPr>
          <w:p w14:paraId="142C8C2F" w14:textId="77777777" w:rsidR="006B5AEB" w:rsidRPr="00CF006C" w:rsidRDefault="006B5AEB" w:rsidP="002A0836">
            <w:pPr>
              <w:spacing w:before="120" w:after="120"/>
              <w:ind w:left="357" w:firstLine="0"/>
              <w:rPr>
                <w:rFonts w:ascii="Arial" w:hAnsi="Arial" w:cs="Arial"/>
                <w:bCs/>
                <w:color w:val="FFFF00"/>
                <w:highlight w:val="yellow"/>
              </w:rPr>
            </w:pPr>
          </w:p>
        </w:tc>
        <w:tc>
          <w:tcPr>
            <w:tcW w:w="2126" w:type="dxa"/>
            <w:shd w:val="clear" w:color="auto" w:fill="FFFF00"/>
          </w:tcPr>
          <w:p w14:paraId="0C0A97DB" w14:textId="77777777" w:rsidR="006B5AEB" w:rsidRPr="00CF006C" w:rsidRDefault="006B5AEB" w:rsidP="002A0836">
            <w:pPr>
              <w:spacing w:before="120" w:after="120"/>
              <w:ind w:left="357" w:firstLine="0"/>
              <w:rPr>
                <w:rFonts w:ascii="Arial" w:hAnsi="Arial" w:cs="Arial"/>
                <w:bCs/>
                <w:color w:val="FFFF00"/>
                <w:highlight w:val="yellow"/>
              </w:rPr>
            </w:pPr>
          </w:p>
        </w:tc>
      </w:tr>
      <w:tr w:rsidR="00904972" w:rsidRPr="00445E91" w14:paraId="2E901047" w14:textId="77777777" w:rsidTr="006B5AEB">
        <w:tc>
          <w:tcPr>
            <w:tcW w:w="6379" w:type="dxa"/>
            <w:gridSpan w:val="2"/>
            <w:shd w:val="clear" w:color="auto" w:fill="auto"/>
            <w:vAlign w:val="center"/>
          </w:tcPr>
          <w:p w14:paraId="692B657F" w14:textId="77777777" w:rsidR="00904972" w:rsidRPr="002749AA" w:rsidRDefault="00904972" w:rsidP="002A0836">
            <w:pPr>
              <w:spacing w:before="120" w:after="120"/>
              <w:ind w:left="0" w:firstLine="0"/>
              <w:rPr>
                <w:rFonts w:ascii="Arial" w:hAnsi="Arial" w:cs="Arial"/>
                <w:b/>
                <w:bCs/>
                <w:color w:val="000000"/>
                <w:highlight w:val="cyan"/>
              </w:rPr>
            </w:pPr>
            <w:r w:rsidRPr="002749AA">
              <w:rPr>
                <w:rFonts w:ascii="Arial" w:hAnsi="Arial" w:cs="Arial"/>
                <w:b/>
                <w:bCs/>
              </w:rPr>
              <w:t xml:space="preserve">Celkem </w:t>
            </w:r>
          </w:p>
        </w:tc>
        <w:tc>
          <w:tcPr>
            <w:tcW w:w="2126" w:type="dxa"/>
            <w:shd w:val="clear" w:color="auto" w:fill="FFFF00"/>
          </w:tcPr>
          <w:p w14:paraId="40E1B957" w14:textId="77777777" w:rsidR="00904972" w:rsidRPr="00445E91" w:rsidRDefault="00904972" w:rsidP="002A0836">
            <w:pPr>
              <w:spacing w:before="120" w:after="120"/>
              <w:rPr>
                <w:rFonts w:ascii="Arial" w:hAnsi="Arial" w:cs="Arial"/>
                <w:bCs/>
                <w:color w:val="000000"/>
                <w:highlight w:val="cyan"/>
              </w:rPr>
            </w:pPr>
          </w:p>
        </w:tc>
      </w:tr>
      <w:tr w:rsidR="00904972" w:rsidRPr="00445E91" w14:paraId="688E9FB9" w14:textId="77777777" w:rsidTr="006B5AEB">
        <w:tc>
          <w:tcPr>
            <w:tcW w:w="6379" w:type="dxa"/>
            <w:gridSpan w:val="2"/>
            <w:shd w:val="clear" w:color="auto" w:fill="F2F2F2" w:themeFill="background1" w:themeFillShade="F2"/>
            <w:vAlign w:val="center"/>
          </w:tcPr>
          <w:p w14:paraId="67CD4D2E" w14:textId="19D72C8A" w:rsidR="00904972" w:rsidRPr="005417D0" w:rsidRDefault="00904972" w:rsidP="002A0836">
            <w:pPr>
              <w:spacing w:before="60" w:after="60"/>
              <w:ind w:left="0" w:firstLine="0"/>
              <w:rPr>
                <w:rFonts w:ascii="Arial" w:hAnsi="Arial" w:cs="Arial"/>
                <w:b/>
                <w:bCs/>
                <w:color w:val="000000"/>
              </w:rPr>
            </w:pPr>
            <w:r w:rsidRPr="005417D0">
              <w:rPr>
                <w:rFonts w:ascii="Arial" w:hAnsi="Arial" w:cs="Arial"/>
                <w:b/>
                <w:bCs/>
                <w:color w:val="000000"/>
              </w:rPr>
              <w:t xml:space="preserve">DPH </w:t>
            </w:r>
            <w:r>
              <w:rPr>
                <w:rFonts w:ascii="Arial" w:hAnsi="Arial" w:cs="Arial"/>
                <w:b/>
                <w:bCs/>
                <w:color w:val="000000"/>
              </w:rPr>
              <w:t xml:space="preserve">celkem </w:t>
            </w:r>
            <w:r w:rsidRPr="005417D0">
              <w:rPr>
                <w:rFonts w:ascii="Arial" w:hAnsi="Arial" w:cs="Arial"/>
                <w:b/>
                <w:bCs/>
                <w:color w:val="000000"/>
              </w:rPr>
              <w:t>v</w:t>
            </w:r>
            <w:r w:rsidR="00065D30">
              <w:rPr>
                <w:rFonts w:ascii="Arial" w:hAnsi="Arial" w:cs="Arial"/>
                <w:b/>
                <w:bCs/>
                <w:color w:val="000000"/>
              </w:rPr>
              <w:t> </w:t>
            </w:r>
            <w:r w:rsidRPr="005417D0">
              <w:rPr>
                <w:rFonts w:ascii="Arial" w:hAnsi="Arial" w:cs="Arial"/>
                <w:b/>
                <w:bCs/>
                <w:color w:val="000000"/>
              </w:rPr>
              <w:t>Kč</w:t>
            </w:r>
          </w:p>
        </w:tc>
        <w:tc>
          <w:tcPr>
            <w:tcW w:w="2126" w:type="dxa"/>
            <w:shd w:val="clear" w:color="auto" w:fill="FFFF00"/>
          </w:tcPr>
          <w:p w14:paraId="4A16D24D" w14:textId="77777777" w:rsidR="00904972" w:rsidRPr="00445E91" w:rsidRDefault="00904972" w:rsidP="002A0836">
            <w:pPr>
              <w:spacing w:before="60" w:after="60"/>
              <w:ind w:left="357" w:firstLine="0"/>
            </w:pPr>
          </w:p>
        </w:tc>
      </w:tr>
      <w:tr w:rsidR="00904972" w:rsidRPr="00445E91" w14:paraId="6F263A8A" w14:textId="77777777" w:rsidTr="006B5AEB">
        <w:tc>
          <w:tcPr>
            <w:tcW w:w="6379" w:type="dxa"/>
            <w:gridSpan w:val="2"/>
            <w:shd w:val="clear" w:color="auto" w:fill="F2F2F2" w:themeFill="background1" w:themeFillShade="F2"/>
            <w:vAlign w:val="center"/>
          </w:tcPr>
          <w:p w14:paraId="42926E8C" w14:textId="77777777" w:rsidR="00904972" w:rsidRPr="005417D0" w:rsidRDefault="00904972" w:rsidP="002A0836">
            <w:pPr>
              <w:spacing w:before="60" w:after="60"/>
              <w:ind w:left="0" w:firstLine="0"/>
              <w:rPr>
                <w:rFonts w:ascii="Arial" w:hAnsi="Arial" w:cs="Arial"/>
                <w:b/>
                <w:bCs/>
                <w:color w:val="000000"/>
              </w:rPr>
            </w:pPr>
            <w:r w:rsidRPr="005417D0">
              <w:rPr>
                <w:rFonts w:ascii="Arial" w:hAnsi="Arial" w:cs="Arial"/>
                <w:b/>
                <w:bCs/>
                <w:color w:val="000000"/>
              </w:rPr>
              <w:t>Celková kupní cena v Kč včetně DPH</w:t>
            </w:r>
          </w:p>
        </w:tc>
        <w:tc>
          <w:tcPr>
            <w:tcW w:w="2126" w:type="dxa"/>
            <w:shd w:val="clear" w:color="auto" w:fill="FFFF00"/>
          </w:tcPr>
          <w:p w14:paraId="06A7D1BF" w14:textId="77777777" w:rsidR="00904972" w:rsidRPr="00445E91" w:rsidRDefault="00904972" w:rsidP="002A0836">
            <w:pPr>
              <w:spacing w:before="60" w:after="60"/>
              <w:ind w:left="357" w:firstLine="0"/>
            </w:pPr>
          </w:p>
        </w:tc>
      </w:tr>
    </w:tbl>
    <w:p w14:paraId="292B1C4A" w14:textId="77777777" w:rsidR="00904972" w:rsidRDefault="00904972" w:rsidP="0031374A">
      <w:pPr>
        <w:pStyle w:val="Odstavecseseznamem"/>
        <w:tabs>
          <w:tab w:val="left" w:pos="567"/>
        </w:tabs>
        <w:spacing w:after="120" w:line="360" w:lineRule="auto"/>
        <w:ind w:left="600" w:firstLine="0"/>
        <w:rPr>
          <w:rFonts w:ascii="Arial Narrow" w:hAnsi="Arial Narrow"/>
          <w:i/>
          <w:highlight w:val="yellow"/>
        </w:rPr>
      </w:pPr>
    </w:p>
    <w:p w14:paraId="59FBFC9D" w14:textId="3AB7685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lastRenderedPageBreak/>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lastRenderedPageBreak/>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lastRenderedPageBreak/>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lastRenderedPageBreak/>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lastRenderedPageBreak/>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w:t>
      </w:r>
      <w:r w:rsidR="00686799">
        <w:rPr>
          <w:rFonts w:ascii="Arial Narrow" w:hAnsi="Arial Narrow"/>
        </w:rPr>
        <w:lastRenderedPageBreak/>
        <w:t>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lastRenderedPageBreak/>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DDD52" w14:textId="77777777" w:rsidR="00134456" w:rsidRDefault="00134456">
      <w:r>
        <w:separator/>
      </w:r>
    </w:p>
  </w:endnote>
  <w:endnote w:type="continuationSeparator" w:id="0">
    <w:p w14:paraId="46441DAE" w14:textId="77777777" w:rsidR="00134456" w:rsidRDefault="00134456">
      <w:r>
        <w:continuationSeparator/>
      </w:r>
    </w:p>
  </w:endnote>
  <w:endnote w:type="continuationNotice" w:id="1">
    <w:p w14:paraId="59AEA697" w14:textId="77777777" w:rsidR="00134456" w:rsidRDefault="001344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21884" w14:textId="77777777" w:rsidR="00134456" w:rsidRDefault="00134456">
      <w:r>
        <w:separator/>
      </w:r>
    </w:p>
  </w:footnote>
  <w:footnote w:type="continuationSeparator" w:id="0">
    <w:p w14:paraId="15702292" w14:textId="77777777" w:rsidR="00134456" w:rsidRDefault="00134456">
      <w:r>
        <w:continuationSeparator/>
      </w:r>
    </w:p>
  </w:footnote>
  <w:footnote w:type="continuationNotice" w:id="1">
    <w:p w14:paraId="16317F97" w14:textId="77777777" w:rsidR="00134456" w:rsidRDefault="001344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5D30"/>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445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4285"/>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2CBE"/>
    <w:rsid w:val="003C31D2"/>
    <w:rsid w:val="003C3A4D"/>
    <w:rsid w:val="003C3C7C"/>
    <w:rsid w:val="003C4D54"/>
    <w:rsid w:val="003C74C7"/>
    <w:rsid w:val="003C7F0A"/>
    <w:rsid w:val="003D0D78"/>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D07FF"/>
    <w:rsid w:val="005D19DF"/>
    <w:rsid w:val="005D3602"/>
    <w:rsid w:val="005D6E45"/>
    <w:rsid w:val="005E0202"/>
    <w:rsid w:val="005E04E1"/>
    <w:rsid w:val="005E085F"/>
    <w:rsid w:val="005E2087"/>
    <w:rsid w:val="005F2624"/>
    <w:rsid w:val="005F586D"/>
    <w:rsid w:val="006036A4"/>
    <w:rsid w:val="006038F1"/>
    <w:rsid w:val="006050C0"/>
    <w:rsid w:val="006051F2"/>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2DF"/>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5AEB"/>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5CAB"/>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2"/>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6BE"/>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05"/>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65A56"/>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19</Pages>
  <Words>6032</Words>
  <Characters>35590</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41539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17</cp:revision>
  <cp:lastPrinted>2017-07-27T11:40:00Z</cp:lastPrinted>
  <dcterms:created xsi:type="dcterms:W3CDTF">2022-12-13T15:58:00Z</dcterms:created>
  <dcterms:modified xsi:type="dcterms:W3CDTF">2023-04-14T14:51:00Z</dcterms:modified>
</cp:coreProperties>
</file>